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80" w:rsidRDefault="00A54F21" w:rsidP="00813B2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Интерактивная карта </w:t>
      </w:r>
      <w:r>
        <w:rPr>
          <w:b/>
          <w:bCs/>
          <w:sz w:val="32"/>
          <w:szCs w:val="32"/>
        </w:rPr>
        <w:br/>
        <w:t>Общероссийского Конгресса муниципальных образований</w:t>
      </w:r>
    </w:p>
    <w:p w:rsidR="002126E1" w:rsidRPr="00813B26" w:rsidRDefault="002126E1" w:rsidP="00813B26">
      <w:pPr>
        <w:jc w:val="center"/>
        <w:rPr>
          <w:b/>
          <w:bCs/>
          <w:sz w:val="32"/>
          <w:szCs w:val="32"/>
        </w:rPr>
      </w:pPr>
    </w:p>
    <w:p w:rsidR="00FE4C1A" w:rsidRDefault="00FE4C1A" w:rsidP="00FE4C1A">
      <w:pPr>
        <w:rPr>
          <w:szCs w:val="22"/>
        </w:rPr>
      </w:pPr>
    </w:p>
    <w:p w:rsidR="009A2CFE" w:rsidRDefault="002126E1" w:rsidP="00FE4C1A">
      <w:pPr>
        <w:rPr>
          <w:szCs w:val="22"/>
        </w:rPr>
      </w:pPr>
      <w:r w:rsidRPr="002126E1">
        <w:rPr>
          <w:szCs w:val="22"/>
        </w:rPr>
        <w:drawing>
          <wp:inline distT="0" distB="0" distL="0" distR="0">
            <wp:extent cx="5934075" cy="4448175"/>
            <wp:effectExtent l="19050" t="0" r="9525" b="0"/>
            <wp:docPr id="1" name="Рисунок 16" descr="mapch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pchg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6E1" w:rsidRDefault="002126E1" w:rsidP="002126E1">
      <w:pPr>
        <w:ind w:firstLine="708"/>
        <w:jc w:val="both"/>
        <w:rPr>
          <w:sz w:val="28"/>
          <w:szCs w:val="28"/>
        </w:rPr>
      </w:pPr>
    </w:p>
    <w:p w:rsidR="002126E1" w:rsidRDefault="002126E1" w:rsidP="002126E1">
      <w:pPr>
        <w:ind w:firstLine="708"/>
        <w:jc w:val="both"/>
        <w:rPr>
          <w:sz w:val="28"/>
          <w:szCs w:val="28"/>
        </w:rPr>
      </w:pPr>
    </w:p>
    <w:p w:rsidR="002126E1" w:rsidRPr="002126E1" w:rsidRDefault="002126E1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ОКМО – единственный координатор муниципальных образований всех субъектов Российской Федерации.</w:t>
      </w:r>
    </w:p>
    <w:p w:rsidR="00BB66FD" w:rsidRPr="002126E1" w:rsidRDefault="00A54F21" w:rsidP="002126E1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85 советов муниципальных образований субъектов РФ;</w:t>
      </w:r>
    </w:p>
    <w:p w:rsidR="00BB66FD" w:rsidRPr="002126E1" w:rsidRDefault="00A54F21" w:rsidP="002126E1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22 406 муниципальных образований</w:t>
      </w:r>
    </w:p>
    <w:p w:rsidR="00A54F21" w:rsidRDefault="00A54F21" w:rsidP="002126E1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6 межрегиональных ассоциаций муниципальных образований</w:t>
      </w:r>
    </w:p>
    <w:p w:rsidR="002126E1" w:rsidRPr="002126E1" w:rsidRDefault="002126E1" w:rsidP="002126E1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</w:p>
    <w:p w:rsidR="00A54F21" w:rsidRPr="002126E1" w:rsidRDefault="00BB66FD" w:rsidP="002126E1">
      <w:pPr>
        <w:ind w:firstLine="708"/>
        <w:jc w:val="both"/>
        <w:rPr>
          <w:color w:val="000000" w:themeColor="text1"/>
          <w:sz w:val="28"/>
          <w:szCs w:val="28"/>
        </w:rPr>
      </w:pPr>
      <w:r w:rsidRPr="002126E1">
        <w:rPr>
          <w:sz w:val="28"/>
          <w:szCs w:val="28"/>
        </w:rPr>
        <w:t xml:space="preserve">Согласно </w:t>
      </w:r>
      <w:r w:rsidRPr="002126E1">
        <w:rPr>
          <w:color w:val="000000" w:themeColor="text1"/>
          <w:sz w:val="28"/>
          <w:szCs w:val="28"/>
        </w:rPr>
        <w:t xml:space="preserve">п. 2 Распоряжения </w:t>
      </w:r>
      <w:r w:rsidRPr="002126E1">
        <w:rPr>
          <w:sz w:val="28"/>
          <w:szCs w:val="28"/>
        </w:rPr>
        <w:t xml:space="preserve">Правительства Российской Федерации от 31 января 2000 года № 162-р (в ред. распоряжения от 29 мая 2014 года № 913-р) Общероссийский Конгресс муниципальных образований ведёт работу по подготовке и предоставлению доклада Правительству РФ «О </w:t>
      </w:r>
      <w:r w:rsidRPr="002126E1">
        <w:rPr>
          <w:color w:val="000000" w:themeColor="text1"/>
          <w:sz w:val="28"/>
          <w:szCs w:val="28"/>
        </w:rPr>
        <w:t>состоянии местного самоуправления в Российской Федерации, перспективах его развития и предложения по совершенствованию правового регулирования организации и осуществления местного самоуправления за 2016 год»</w:t>
      </w:r>
      <w:r w:rsidR="0028378B" w:rsidRPr="002126E1">
        <w:rPr>
          <w:color w:val="000000" w:themeColor="text1"/>
          <w:sz w:val="28"/>
          <w:szCs w:val="28"/>
        </w:rPr>
        <w:t xml:space="preserve"> (далее – «Доклад»).</w:t>
      </w:r>
    </w:p>
    <w:p w:rsidR="0028378B" w:rsidRPr="002126E1" w:rsidRDefault="0028378B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lastRenderedPageBreak/>
        <w:t xml:space="preserve">В рамках подготовки Доклада </w:t>
      </w:r>
      <w:r w:rsidR="00470880" w:rsidRPr="002126E1">
        <w:rPr>
          <w:sz w:val="28"/>
          <w:szCs w:val="28"/>
        </w:rPr>
        <w:t>и</w:t>
      </w:r>
      <w:r w:rsidRPr="002126E1">
        <w:rPr>
          <w:sz w:val="28"/>
          <w:szCs w:val="28"/>
        </w:rPr>
        <w:t>сполнительной дирекцией Конгресса были выработаны критерии оценки проблемных вопросов местного самоуправления обозначенных муниципальными образованиями. По данным критериям была собрана и обобщена информация от Советов муниципальных образований субъектов Российской Федерации.</w:t>
      </w:r>
    </w:p>
    <w:p w:rsidR="002126E1" w:rsidRPr="002126E1" w:rsidRDefault="0028378B" w:rsidP="002126E1">
      <w:pPr>
        <w:jc w:val="both"/>
        <w:rPr>
          <w:sz w:val="28"/>
          <w:szCs w:val="28"/>
        </w:rPr>
      </w:pPr>
      <w:r w:rsidRPr="002126E1">
        <w:rPr>
          <w:sz w:val="28"/>
          <w:szCs w:val="28"/>
        </w:rPr>
        <w:tab/>
        <w:t xml:space="preserve">Для объективной оценки, а также удобства </w:t>
      </w:r>
      <w:r w:rsidR="00E85334" w:rsidRPr="002126E1">
        <w:rPr>
          <w:sz w:val="28"/>
          <w:szCs w:val="28"/>
        </w:rPr>
        <w:t xml:space="preserve">восприятия информация была перемещена на интерактивную карту России. </w:t>
      </w:r>
    </w:p>
    <w:p w:rsidR="002126E1" w:rsidRDefault="002126E1" w:rsidP="002126E1">
      <w:pPr>
        <w:jc w:val="both"/>
        <w:rPr>
          <w:sz w:val="28"/>
          <w:szCs w:val="28"/>
        </w:rPr>
      </w:pPr>
    </w:p>
    <w:p w:rsidR="002126E1" w:rsidRDefault="002126E1" w:rsidP="002126E1">
      <w:pPr>
        <w:jc w:val="both"/>
        <w:rPr>
          <w:sz w:val="28"/>
          <w:szCs w:val="28"/>
        </w:rPr>
      </w:pPr>
    </w:p>
    <w:p w:rsidR="002126E1" w:rsidRPr="002126E1" w:rsidRDefault="002126E1" w:rsidP="002126E1">
      <w:pPr>
        <w:jc w:val="both"/>
        <w:rPr>
          <w:sz w:val="28"/>
          <w:szCs w:val="28"/>
        </w:rPr>
      </w:pPr>
      <w:r w:rsidRPr="002126E1">
        <w:rPr>
          <w:sz w:val="28"/>
          <w:szCs w:val="28"/>
        </w:rPr>
        <w:t>Для формирования Интерактивной Карты России, от Советов муниципальных образований субъектов Российской Федерации были запрошены следующие показатели: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037"/>
      </w:tblGrid>
      <w:tr w:rsidR="002126E1" w:rsidRPr="002126E1" w:rsidTr="002C5024">
        <w:trPr>
          <w:cantSplit/>
          <w:trHeight w:val="187"/>
        </w:trPr>
        <w:tc>
          <w:tcPr>
            <w:tcW w:w="5000" w:type="pct"/>
            <w:gridSpan w:val="2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b/>
                <w:sz w:val="28"/>
                <w:szCs w:val="28"/>
              </w:rPr>
              <w:t>Административно – территориальное деление</w:t>
            </w:r>
          </w:p>
        </w:tc>
      </w:tr>
      <w:tr w:rsidR="002126E1" w:rsidRPr="002126E1" w:rsidTr="002C5024">
        <w:trPr>
          <w:cantSplit/>
          <w:trHeight w:val="187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b/>
                <w:sz w:val="28"/>
                <w:szCs w:val="28"/>
              </w:rPr>
            </w:pP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Количество муниципальных образований</w:t>
            </w:r>
          </w:p>
        </w:tc>
      </w:tr>
      <w:tr w:rsidR="002126E1" w:rsidRPr="002126E1" w:rsidTr="002C5024">
        <w:trPr>
          <w:cantSplit/>
          <w:trHeight w:val="187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b/>
                <w:sz w:val="28"/>
                <w:szCs w:val="28"/>
              </w:rPr>
            </w:pP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из них являются членами Совета муниципальных образований</w:t>
            </w:r>
          </w:p>
        </w:tc>
      </w:tr>
      <w:tr w:rsidR="002126E1" w:rsidRPr="002126E1" w:rsidTr="002C5024">
        <w:trPr>
          <w:cantSplit/>
          <w:trHeight w:val="187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b/>
                <w:sz w:val="28"/>
                <w:szCs w:val="28"/>
              </w:rPr>
            </w:pP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Количество населения муниципального образования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5000" w:type="pct"/>
            <w:gridSpan w:val="2"/>
          </w:tcPr>
          <w:p w:rsidR="002126E1" w:rsidRPr="002126E1" w:rsidRDefault="002126E1" w:rsidP="002126E1">
            <w:pPr>
              <w:pStyle w:val="ab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6E1">
              <w:rPr>
                <w:rFonts w:ascii="Times New Roman" w:eastAsia="TimesNewRomanPSMT" w:hAnsi="Times New Roman"/>
                <w:b/>
                <w:color w:val="000000" w:themeColor="text1"/>
                <w:sz w:val="28"/>
                <w:szCs w:val="28"/>
              </w:rPr>
              <w:t>Экономика и бюджетно-финансовое обеспечение местного самоуправления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rFonts w:eastAsia="TimesNewRomanPSMT"/>
                <w:color w:val="000000" w:themeColor="text1"/>
                <w:sz w:val="28"/>
                <w:szCs w:val="28"/>
                <w:lang w:val="en-US"/>
              </w:rPr>
            </w:pP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Консолидированный местный бюджет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 xml:space="preserve">Доходы бюджета МО в расчете на 1 жителя МО, </w:t>
            </w:r>
            <w:r w:rsidRPr="002126E1">
              <w:rPr>
                <w:rFonts w:eastAsia="TimesNewRomanPSMT"/>
                <w:color w:val="000000" w:themeColor="text1"/>
                <w:sz w:val="28"/>
                <w:szCs w:val="28"/>
              </w:rPr>
              <w:t>включая межбюджетные трансферты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Доходы бюджета МО в расчете на 1 жителя МО, исключая межбюджетные трансферты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Объем собственных доходов бюджета МО в расчете на 1 жителя МО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Объем собственных доходов бюджета МО без учёта межбюджетных трансфертов и трансфертно -замещающих нормативов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Расходы бюджета МО в расчете на 1 жителя МО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10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видов муниципальной поддержки бизнеса, осуществляемой на территории МО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11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денежных средств, выделяемых МО в рамках поддержки бизнеса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12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FF0000"/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Кол-во мероприятий Национального рейтинга, реализуемых на территории субъекта РФ  с участием МО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5000" w:type="pct"/>
            <w:gridSpan w:val="2"/>
          </w:tcPr>
          <w:p w:rsidR="002126E1" w:rsidRPr="002126E1" w:rsidRDefault="002126E1" w:rsidP="002126E1">
            <w:pPr>
              <w:pStyle w:val="ab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126E1">
              <w:rPr>
                <w:rFonts w:ascii="Times New Roman" w:eastAsia="TimesNewRomanPSMT" w:hAnsi="Times New Roman"/>
                <w:b/>
                <w:sz w:val="28"/>
                <w:szCs w:val="28"/>
              </w:rPr>
              <w:t>Кадровое обеспечение органов местного самоуправления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13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FF0000"/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Численность муниципальных служащих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14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FF0000"/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Численность работников органов МСУ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15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FF0000"/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пенсионеров, получающих муниципальную пенсию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16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Кадровая обеспеченность муниципальными служащими с профильным образованием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17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муниципальных служащих, прошедших повышение квалификации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18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Общий объем средств, потраченных на образование муниципальных служащих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Среднемесячная заработная плата работников органов местного самоуправления, включая начисления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20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Среднемесячная пенсия, выплачиваемая за счет местного бюджета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Среднемесячная заработная плата выборного должностного лица (главы МО), включая начисления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5000" w:type="pct"/>
            <w:gridSpan w:val="2"/>
          </w:tcPr>
          <w:p w:rsidR="002126E1" w:rsidRPr="002126E1" w:rsidRDefault="002126E1" w:rsidP="002126E1">
            <w:pPr>
              <w:pStyle w:val="ab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6E1">
              <w:rPr>
                <w:rFonts w:ascii="Times New Roman" w:eastAsia="TimesNewRomanPSMT" w:hAnsi="Times New Roman"/>
                <w:b/>
                <w:sz w:val="28"/>
                <w:szCs w:val="28"/>
              </w:rPr>
              <w:t>Судебная практика, взаимодействие с контрольно-надзорными органами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Общее количество проверок органов МСУ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Количество запросов в органы МСУ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Общее количество судебных решений, вынесенных в отношении органов МСУ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Количество поданных прокурором заявлений в суд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Приблизительное количество денежных средств, необходимых на исполнение судебных решений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Количество исполнительных производств в отношении органов МСУ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28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поданных прокурором протестов/представлений в отношении органов МСУ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29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возбужденных административных производств в отношении должностных лиц органов МСУ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Количество штрафов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color w:val="000000" w:themeColor="text1"/>
                <w:sz w:val="28"/>
                <w:szCs w:val="28"/>
              </w:rPr>
              <w:t>Сумма штрафов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5000" w:type="pct"/>
            <w:gridSpan w:val="2"/>
          </w:tcPr>
          <w:p w:rsidR="002126E1" w:rsidRPr="002126E1" w:rsidRDefault="002126E1" w:rsidP="002126E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126E1">
              <w:rPr>
                <w:rFonts w:eastAsia="TimesNewRomanPSMT"/>
                <w:b/>
                <w:sz w:val="28"/>
                <w:szCs w:val="28"/>
              </w:rPr>
              <w:t>Участие граждан в осуществлении местного самоуправления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32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образованных ТОСов в МО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33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юридически зарегистрированных ТОСов</w:t>
            </w:r>
          </w:p>
        </w:tc>
      </w:tr>
      <w:tr w:rsidR="002126E1" w:rsidRPr="002126E1" w:rsidTr="002C5024">
        <w:trPr>
          <w:cantSplit/>
          <w:trHeight w:val="230"/>
        </w:trPr>
        <w:tc>
          <w:tcPr>
            <w:tcW w:w="279" w:type="pct"/>
          </w:tcPr>
          <w:p w:rsidR="002126E1" w:rsidRPr="002126E1" w:rsidRDefault="002126E1" w:rsidP="002126E1">
            <w:pPr>
              <w:autoSpaceDE w:val="0"/>
              <w:jc w:val="both"/>
              <w:rPr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34</w:t>
            </w:r>
          </w:p>
        </w:tc>
        <w:tc>
          <w:tcPr>
            <w:tcW w:w="4721" w:type="pct"/>
            <w:shd w:val="clear" w:color="auto" w:fill="auto"/>
          </w:tcPr>
          <w:p w:rsidR="002126E1" w:rsidRPr="002126E1" w:rsidRDefault="002126E1" w:rsidP="002126E1">
            <w:pPr>
              <w:autoSpaceDE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2126E1">
              <w:rPr>
                <w:sz w:val="28"/>
                <w:szCs w:val="28"/>
              </w:rPr>
              <w:t>Количество ТОСов, фактически осуществляющих свою деятельность</w:t>
            </w:r>
          </w:p>
        </w:tc>
      </w:tr>
    </w:tbl>
    <w:p w:rsidR="002126E1" w:rsidRPr="002126E1" w:rsidRDefault="002126E1" w:rsidP="002126E1">
      <w:pPr>
        <w:jc w:val="both"/>
        <w:rPr>
          <w:sz w:val="28"/>
          <w:szCs w:val="28"/>
        </w:rPr>
      </w:pPr>
    </w:p>
    <w:p w:rsidR="002126E1" w:rsidRPr="002126E1" w:rsidRDefault="002126E1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Во всплывающую таблицу данных по региону присутствуют поля для сравнения: "На 1 МО (муниципальное образование)", "Кол-во МО (муниципальных образований)", "Кол-во муниципальных служащих", "Кол-во организованных ТОС" и др. Схему таких подстановок теперь можно легко определять и переопределять при необходимости. (Рисунок 2).</w:t>
      </w:r>
    </w:p>
    <w:p w:rsidR="002126E1" w:rsidRPr="002126E1" w:rsidRDefault="002126E1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К показателю 2.5. "Объем собственных доходов" добавляются поля "На 1 МО" и "Кол-во МО"</w:t>
      </w:r>
    </w:p>
    <w:p w:rsidR="002126E1" w:rsidRPr="002126E1" w:rsidRDefault="002126E1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К показателю 5.2. "Кол-во юридически зарегистрированных ТОСов" добавляется поле "5.1. Кол-во образованных ТОСов"</w:t>
      </w:r>
    </w:p>
    <w:p w:rsidR="002126E1" w:rsidRPr="002126E1" w:rsidRDefault="002126E1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Для визуализации показателей, представляющих собой значения "на 1 жителя" или "Средняя [зарплата]" на карте отображено следующее:</w:t>
      </w:r>
    </w:p>
    <w:p w:rsidR="002126E1" w:rsidRPr="002126E1" w:rsidRDefault="002126E1" w:rsidP="002126E1">
      <w:pPr>
        <w:jc w:val="both"/>
        <w:rPr>
          <w:sz w:val="28"/>
          <w:szCs w:val="28"/>
        </w:rPr>
      </w:pPr>
      <w:r w:rsidRPr="002126E1">
        <w:rPr>
          <w:sz w:val="28"/>
          <w:szCs w:val="28"/>
        </w:rPr>
        <w:t>- по умолчанию средние значение по субъекту РФ;</w:t>
      </w:r>
    </w:p>
    <w:p w:rsidR="002126E1" w:rsidRPr="002126E1" w:rsidRDefault="002126E1" w:rsidP="002126E1">
      <w:pPr>
        <w:jc w:val="both"/>
        <w:rPr>
          <w:sz w:val="28"/>
          <w:szCs w:val="28"/>
        </w:rPr>
      </w:pPr>
      <w:r w:rsidRPr="002126E1">
        <w:rPr>
          <w:sz w:val="28"/>
          <w:szCs w:val="28"/>
        </w:rPr>
        <w:t>- при необходимости имеется возможность визуализировать вариацию показателей между разных видами МО, чтобы наглядно видеть разброс.</w:t>
      </w:r>
    </w:p>
    <w:p w:rsidR="002126E1" w:rsidRPr="002126E1" w:rsidRDefault="002126E1" w:rsidP="002126E1">
      <w:pPr>
        <w:jc w:val="both"/>
        <w:rPr>
          <w:sz w:val="28"/>
          <w:szCs w:val="28"/>
        </w:rPr>
      </w:pPr>
      <w:r w:rsidRPr="002126E1">
        <w:rPr>
          <w:sz w:val="28"/>
          <w:szCs w:val="28"/>
        </w:rPr>
        <w:t xml:space="preserve">Регионы, у которых разброс показателя по видам МО незначителен - отмечены более зеленым цветом, а регионы с большим разбросом – </w:t>
      </w:r>
      <w:r w:rsidRPr="002126E1">
        <w:rPr>
          <w:sz w:val="28"/>
          <w:szCs w:val="28"/>
        </w:rPr>
        <w:lastRenderedPageBreak/>
        <w:t>отмечены желтым/красным цветами.. Таким образом, сразу видна и некое общее, и вариативность.</w:t>
      </w:r>
    </w:p>
    <w:p w:rsidR="002126E1" w:rsidRPr="002126E1" w:rsidRDefault="002126E1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Вариация так же отображается в таблице по региону.</w:t>
      </w:r>
    </w:p>
    <w:p w:rsidR="002126E1" w:rsidRPr="002126E1" w:rsidRDefault="002126E1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t xml:space="preserve">Имеется возможность визуализировать данные на карте как отдельно по каждому из видом МО, так и в пересчете на 1 МО. </w:t>
      </w:r>
    </w:p>
    <w:p w:rsidR="002126E1" w:rsidRDefault="002126E1" w:rsidP="002126E1">
      <w:pPr>
        <w:ind w:firstLine="708"/>
        <w:jc w:val="both"/>
        <w:rPr>
          <w:sz w:val="28"/>
          <w:szCs w:val="28"/>
        </w:rPr>
      </w:pPr>
      <w:r w:rsidRPr="002126E1">
        <w:rPr>
          <w:sz w:val="28"/>
          <w:szCs w:val="28"/>
        </w:rPr>
        <w:t>Возможность визуализации в пересчете на 1 МО доступна только для тех показателей, для которых это релевантно. Например "2.2.Доходы бюджета МО в расчете на 1 жителя МО" и так "на 1 жителя", для таких показателей опция недоступна, а "2.5.Объем собственных доходов бюджета МО" можно пересчитать на 1 МО, там опция доступна.</w:t>
      </w:r>
    </w:p>
    <w:p w:rsidR="002126E1" w:rsidRDefault="002126E1" w:rsidP="002126E1">
      <w:pPr>
        <w:jc w:val="both"/>
        <w:rPr>
          <w:sz w:val="28"/>
          <w:szCs w:val="28"/>
        </w:rPr>
      </w:pPr>
    </w:p>
    <w:p w:rsidR="002126E1" w:rsidRDefault="002126E1" w:rsidP="002126E1">
      <w:pPr>
        <w:rPr>
          <w:sz w:val="28"/>
          <w:szCs w:val="28"/>
        </w:rPr>
      </w:pPr>
      <w:r w:rsidRPr="002126E1">
        <w:rPr>
          <w:sz w:val="28"/>
          <w:szCs w:val="28"/>
        </w:rPr>
        <w:drawing>
          <wp:inline distT="0" distB="0" distL="0" distR="0">
            <wp:extent cx="5873600" cy="4057650"/>
            <wp:effectExtent l="19050" t="0" r="0" b="0"/>
            <wp:docPr id="2" name="Рисунок 3" descr="mapch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chg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23" cy="406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6E1" w:rsidRPr="002126E1" w:rsidRDefault="002126E1" w:rsidP="002126E1">
      <w:pPr>
        <w:ind w:firstLine="708"/>
        <w:jc w:val="both"/>
        <w:rPr>
          <w:sz w:val="28"/>
          <w:szCs w:val="28"/>
        </w:rPr>
      </w:pPr>
    </w:p>
    <w:p w:rsidR="007D07D1" w:rsidRDefault="007D07D1" w:rsidP="007D07D1">
      <w:pPr>
        <w:rPr>
          <w:szCs w:val="22"/>
        </w:rPr>
      </w:pPr>
    </w:p>
    <w:p w:rsidR="007D07D1" w:rsidRDefault="00CE326D" w:rsidP="007D07D1">
      <w:pPr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>
            <wp:extent cx="5934075" cy="4448175"/>
            <wp:effectExtent l="19050" t="0" r="9525" b="0"/>
            <wp:docPr id="17" name="Рисунок 17" descr="mapch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pchg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AC0" w:rsidRDefault="006B5AC0" w:rsidP="00FE4C1A">
      <w:pPr>
        <w:rPr>
          <w:szCs w:val="22"/>
        </w:rPr>
      </w:pPr>
    </w:p>
    <w:p w:rsidR="00544ACF" w:rsidRPr="00544ACF" w:rsidRDefault="00544ACF" w:rsidP="00FE4C1A">
      <w:pPr>
        <w:rPr>
          <w:szCs w:val="22"/>
        </w:rPr>
      </w:pPr>
    </w:p>
    <w:p w:rsidR="00813B26" w:rsidRDefault="00813B26" w:rsidP="00FE4C1A">
      <w:pPr>
        <w:rPr>
          <w:szCs w:val="22"/>
        </w:rPr>
      </w:pPr>
    </w:p>
    <w:p w:rsidR="009A2CFE" w:rsidRDefault="009A2CFE" w:rsidP="009A2CFE"/>
    <w:p w:rsidR="009A2CFE" w:rsidRPr="009A2CFE" w:rsidRDefault="00CE326D" w:rsidP="009A2CFE">
      <w:r>
        <w:rPr>
          <w:noProof/>
        </w:rPr>
        <w:lastRenderedPageBreak/>
        <w:drawing>
          <wp:inline distT="0" distB="0" distL="0" distR="0">
            <wp:extent cx="5934075" cy="4448175"/>
            <wp:effectExtent l="19050" t="0" r="9525" b="0"/>
            <wp:docPr id="4" name="Рисунок 4" descr="mapch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pchg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CFE" w:rsidRPr="009A2CFE" w:rsidSect="006F6F53">
      <w:footerReference w:type="default" r:id="rId11"/>
      <w:pgSz w:w="11906" w:h="16838"/>
      <w:pgMar w:top="16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0F8" w:rsidRDefault="00E570F8">
      <w:r>
        <w:separator/>
      </w:r>
    </w:p>
  </w:endnote>
  <w:endnote w:type="continuationSeparator" w:id="1">
    <w:p w:rsidR="00E570F8" w:rsidRDefault="00E57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B26" w:rsidRPr="0075437F" w:rsidRDefault="00813B26">
    <w:pPr>
      <w:pStyle w:val="a5"/>
      <w:rPr>
        <w:color w:val="333333"/>
      </w:rPr>
    </w:pPr>
    <w:r>
      <w:tab/>
    </w:r>
    <w:r w:rsidRPr="0075437F">
      <w:rPr>
        <w:color w:val="333333"/>
      </w:rPr>
      <w:t xml:space="preserve">- </w:t>
    </w:r>
    <w:r w:rsidR="0009316C" w:rsidRPr="0075437F">
      <w:rPr>
        <w:color w:val="333333"/>
      </w:rPr>
      <w:fldChar w:fldCharType="begin"/>
    </w:r>
    <w:r w:rsidRPr="0075437F">
      <w:rPr>
        <w:color w:val="333333"/>
      </w:rPr>
      <w:instrText xml:space="preserve"> PAGE </w:instrText>
    </w:r>
    <w:r w:rsidR="0009316C" w:rsidRPr="0075437F">
      <w:rPr>
        <w:color w:val="333333"/>
      </w:rPr>
      <w:fldChar w:fldCharType="separate"/>
    </w:r>
    <w:r w:rsidR="002126E1">
      <w:rPr>
        <w:noProof/>
        <w:color w:val="333333"/>
      </w:rPr>
      <w:t>4</w:t>
    </w:r>
    <w:r w:rsidR="0009316C" w:rsidRPr="0075437F">
      <w:rPr>
        <w:color w:val="333333"/>
      </w:rPr>
      <w:fldChar w:fldCharType="end"/>
    </w:r>
    <w:r w:rsidRPr="0075437F">
      <w:rPr>
        <w:color w:val="333333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0F8" w:rsidRDefault="00E570F8">
      <w:r>
        <w:separator/>
      </w:r>
    </w:p>
  </w:footnote>
  <w:footnote w:type="continuationSeparator" w:id="1">
    <w:p w:rsidR="00E570F8" w:rsidRDefault="00E570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48DB"/>
    <w:multiLevelType w:val="hybridMultilevel"/>
    <w:tmpl w:val="F85EB75C"/>
    <w:lvl w:ilvl="0" w:tplc="8DC2E3A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75E9B"/>
    <w:multiLevelType w:val="hybridMultilevel"/>
    <w:tmpl w:val="5A1C6D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3E6DE4"/>
    <w:rsid w:val="0003573A"/>
    <w:rsid w:val="000400C7"/>
    <w:rsid w:val="00041ECB"/>
    <w:rsid w:val="00042783"/>
    <w:rsid w:val="000427E0"/>
    <w:rsid w:val="00056FEF"/>
    <w:rsid w:val="00092A41"/>
    <w:rsid w:val="0009316C"/>
    <w:rsid w:val="000A258F"/>
    <w:rsid w:val="000C7327"/>
    <w:rsid w:val="00102EA9"/>
    <w:rsid w:val="00106D7A"/>
    <w:rsid w:val="00132484"/>
    <w:rsid w:val="0014438B"/>
    <w:rsid w:val="00144407"/>
    <w:rsid w:val="00182272"/>
    <w:rsid w:val="001A174A"/>
    <w:rsid w:val="001B5A63"/>
    <w:rsid w:val="001E7616"/>
    <w:rsid w:val="001F12AD"/>
    <w:rsid w:val="001F2E18"/>
    <w:rsid w:val="001F4388"/>
    <w:rsid w:val="002126E1"/>
    <w:rsid w:val="002437FA"/>
    <w:rsid w:val="0025111E"/>
    <w:rsid w:val="0028378B"/>
    <w:rsid w:val="00287068"/>
    <w:rsid w:val="002C34E6"/>
    <w:rsid w:val="002C6DAB"/>
    <w:rsid w:val="00303E46"/>
    <w:rsid w:val="00315737"/>
    <w:rsid w:val="00337462"/>
    <w:rsid w:val="003426D4"/>
    <w:rsid w:val="0034320C"/>
    <w:rsid w:val="0035030E"/>
    <w:rsid w:val="00371982"/>
    <w:rsid w:val="00376507"/>
    <w:rsid w:val="0039145A"/>
    <w:rsid w:val="00391932"/>
    <w:rsid w:val="0039744D"/>
    <w:rsid w:val="003E5184"/>
    <w:rsid w:val="003E6DE4"/>
    <w:rsid w:val="00421D08"/>
    <w:rsid w:val="004464E1"/>
    <w:rsid w:val="004503EB"/>
    <w:rsid w:val="00470880"/>
    <w:rsid w:val="00470A09"/>
    <w:rsid w:val="00481E65"/>
    <w:rsid w:val="004C175F"/>
    <w:rsid w:val="004C314C"/>
    <w:rsid w:val="004E2B87"/>
    <w:rsid w:val="004E6C81"/>
    <w:rsid w:val="004F1A85"/>
    <w:rsid w:val="00502CDE"/>
    <w:rsid w:val="00544ACF"/>
    <w:rsid w:val="00545E52"/>
    <w:rsid w:val="005666F1"/>
    <w:rsid w:val="00571042"/>
    <w:rsid w:val="00580D0C"/>
    <w:rsid w:val="00585F94"/>
    <w:rsid w:val="005A0E1F"/>
    <w:rsid w:val="0060373E"/>
    <w:rsid w:val="006135B9"/>
    <w:rsid w:val="00613D0F"/>
    <w:rsid w:val="0062585E"/>
    <w:rsid w:val="006378EB"/>
    <w:rsid w:val="00637981"/>
    <w:rsid w:val="006613AA"/>
    <w:rsid w:val="00667290"/>
    <w:rsid w:val="0069386C"/>
    <w:rsid w:val="006B37A6"/>
    <w:rsid w:val="006B5AC0"/>
    <w:rsid w:val="006D0F15"/>
    <w:rsid w:val="006F6F53"/>
    <w:rsid w:val="0070578B"/>
    <w:rsid w:val="0071441A"/>
    <w:rsid w:val="00723053"/>
    <w:rsid w:val="00725050"/>
    <w:rsid w:val="00740FBA"/>
    <w:rsid w:val="0075437F"/>
    <w:rsid w:val="007915E4"/>
    <w:rsid w:val="007A650B"/>
    <w:rsid w:val="007B291C"/>
    <w:rsid w:val="007C0FAC"/>
    <w:rsid w:val="007D07D1"/>
    <w:rsid w:val="007D1D94"/>
    <w:rsid w:val="007E14C0"/>
    <w:rsid w:val="007F6F1A"/>
    <w:rsid w:val="00813B26"/>
    <w:rsid w:val="00814849"/>
    <w:rsid w:val="00846009"/>
    <w:rsid w:val="0087712D"/>
    <w:rsid w:val="0088629B"/>
    <w:rsid w:val="008949A8"/>
    <w:rsid w:val="008A26D9"/>
    <w:rsid w:val="008A2990"/>
    <w:rsid w:val="008A7449"/>
    <w:rsid w:val="008A7DAC"/>
    <w:rsid w:val="008B0F48"/>
    <w:rsid w:val="008C7E7B"/>
    <w:rsid w:val="008D1127"/>
    <w:rsid w:val="008D51AC"/>
    <w:rsid w:val="008D674E"/>
    <w:rsid w:val="008E1DC1"/>
    <w:rsid w:val="008E732A"/>
    <w:rsid w:val="008F6EC4"/>
    <w:rsid w:val="00911AD1"/>
    <w:rsid w:val="00926B06"/>
    <w:rsid w:val="00950A89"/>
    <w:rsid w:val="00967BB8"/>
    <w:rsid w:val="00982D74"/>
    <w:rsid w:val="009A2CFE"/>
    <w:rsid w:val="009A58D7"/>
    <w:rsid w:val="009C7CAB"/>
    <w:rsid w:val="009E0DAE"/>
    <w:rsid w:val="009E61EC"/>
    <w:rsid w:val="009F040E"/>
    <w:rsid w:val="00A10368"/>
    <w:rsid w:val="00A17722"/>
    <w:rsid w:val="00A269D4"/>
    <w:rsid w:val="00A47BE6"/>
    <w:rsid w:val="00A54F21"/>
    <w:rsid w:val="00A67D97"/>
    <w:rsid w:val="00A92FE8"/>
    <w:rsid w:val="00AA35F6"/>
    <w:rsid w:val="00AB0F19"/>
    <w:rsid w:val="00AF4BBE"/>
    <w:rsid w:val="00B05012"/>
    <w:rsid w:val="00B20C0B"/>
    <w:rsid w:val="00B23508"/>
    <w:rsid w:val="00B2352B"/>
    <w:rsid w:val="00B90711"/>
    <w:rsid w:val="00B9127C"/>
    <w:rsid w:val="00BA1712"/>
    <w:rsid w:val="00BB66FD"/>
    <w:rsid w:val="00BD0B80"/>
    <w:rsid w:val="00BD5B21"/>
    <w:rsid w:val="00C12DE0"/>
    <w:rsid w:val="00C3494C"/>
    <w:rsid w:val="00C55BDB"/>
    <w:rsid w:val="00CB0AB7"/>
    <w:rsid w:val="00CB25EF"/>
    <w:rsid w:val="00CD64CD"/>
    <w:rsid w:val="00CE326D"/>
    <w:rsid w:val="00D06185"/>
    <w:rsid w:val="00D07A99"/>
    <w:rsid w:val="00D120E1"/>
    <w:rsid w:val="00D20F80"/>
    <w:rsid w:val="00D35B99"/>
    <w:rsid w:val="00D432F3"/>
    <w:rsid w:val="00D51C83"/>
    <w:rsid w:val="00D83C5A"/>
    <w:rsid w:val="00DB50D0"/>
    <w:rsid w:val="00DC2042"/>
    <w:rsid w:val="00DC2A0E"/>
    <w:rsid w:val="00DC30EF"/>
    <w:rsid w:val="00DD05FF"/>
    <w:rsid w:val="00E00EA4"/>
    <w:rsid w:val="00E26A77"/>
    <w:rsid w:val="00E31C5A"/>
    <w:rsid w:val="00E40439"/>
    <w:rsid w:val="00E570F8"/>
    <w:rsid w:val="00E62FA7"/>
    <w:rsid w:val="00E67AA5"/>
    <w:rsid w:val="00E76A48"/>
    <w:rsid w:val="00E85334"/>
    <w:rsid w:val="00E91712"/>
    <w:rsid w:val="00EA281E"/>
    <w:rsid w:val="00EB01EB"/>
    <w:rsid w:val="00EC1D30"/>
    <w:rsid w:val="00EC7786"/>
    <w:rsid w:val="00ED2D29"/>
    <w:rsid w:val="00EF2AA1"/>
    <w:rsid w:val="00F02664"/>
    <w:rsid w:val="00F14324"/>
    <w:rsid w:val="00F2375D"/>
    <w:rsid w:val="00F24143"/>
    <w:rsid w:val="00F33B87"/>
    <w:rsid w:val="00F54772"/>
    <w:rsid w:val="00FA603C"/>
    <w:rsid w:val="00FA7C3E"/>
    <w:rsid w:val="00FB1BBC"/>
    <w:rsid w:val="00FB31A0"/>
    <w:rsid w:val="00FE2ED0"/>
    <w:rsid w:val="00FE4C1A"/>
    <w:rsid w:val="00FE72FC"/>
    <w:rsid w:val="00FF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16C"/>
    <w:rPr>
      <w:sz w:val="24"/>
      <w:szCs w:val="24"/>
    </w:rPr>
  </w:style>
  <w:style w:type="paragraph" w:styleId="1">
    <w:name w:val="heading 1"/>
    <w:basedOn w:val="a"/>
    <w:qFormat/>
    <w:rsid w:val="003E6DE4"/>
    <w:pPr>
      <w:widowControl w:val="0"/>
      <w:autoSpaceDE w:val="0"/>
      <w:autoSpaceDN w:val="0"/>
      <w:adjustRightInd w:val="0"/>
      <w:spacing w:line="240" w:lineRule="atLeast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9E0DA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E0DA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72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982D7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82D74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BD0B80"/>
    <w:rPr>
      <w:sz w:val="18"/>
      <w:szCs w:val="18"/>
    </w:rPr>
  </w:style>
  <w:style w:type="paragraph" w:customStyle="1" w:styleId="H1">
    <w:name w:val="H1"/>
    <w:basedOn w:val="a"/>
    <w:rsid w:val="009E0DAE"/>
    <w:rPr>
      <w:b/>
      <w:bCs/>
      <w:sz w:val="28"/>
      <w:szCs w:val="28"/>
    </w:rPr>
  </w:style>
  <w:style w:type="paragraph" w:customStyle="1" w:styleId="H2">
    <w:name w:val="H2"/>
    <w:basedOn w:val="a"/>
    <w:rsid w:val="009E0DAE"/>
    <w:rPr>
      <w:b/>
      <w:bCs/>
    </w:rPr>
  </w:style>
  <w:style w:type="paragraph" w:styleId="10">
    <w:name w:val="toc 1"/>
    <w:basedOn w:val="a"/>
    <w:next w:val="a"/>
    <w:autoRedefine/>
    <w:semiHidden/>
    <w:rsid w:val="009E0DAE"/>
  </w:style>
  <w:style w:type="character" w:styleId="a7">
    <w:name w:val="Hyperlink"/>
    <w:basedOn w:val="a0"/>
    <w:rsid w:val="009E0DAE"/>
    <w:rPr>
      <w:color w:val="0000FF"/>
      <w:u w:val="single"/>
    </w:rPr>
  </w:style>
  <w:style w:type="paragraph" w:styleId="20">
    <w:name w:val="toc 2"/>
    <w:basedOn w:val="a"/>
    <w:next w:val="a"/>
    <w:autoRedefine/>
    <w:semiHidden/>
    <w:rsid w:val="009E0DAE"/>
    <w:pPr>
      <w:ind w:left="240"/>
    </w:pPr>
  </w:style>
  <w:style w:type="paragraph" w:customStyle="1" w:styleId="H3">
    <w:name w:val="H3"/>
    <w:basedOn w:val="a"/>
    <w:link w:val="H30"/>
    <w:rsid w:val="00D432F3"/>
    <w:rPr>
      <w:b/>
      <w:bCs/>
      <w:sz w:val="22"/>
      <w:szCs w:val="22"/>
    </w:rPr>
  </w:style>
  <w:style w:type="character" w:customStyle="1" w:styleId="H30">
    <w:name w:val="H3 Знак"/>
    <w:basedOn w:val="a0"/>
    <w:link w:val="H3"/>
    <w:rsid w:val="00D432F3"/>
    <w:rPr>
      <w:b/>
      <w:bCs/>
      <w:sz w:val="22"/>
      <w:szCs w:val="22"/>
      <w:lang w:val="ru-RU" w:eastAsia="ru-RU" w:bidi="ar-SA"/>
    </w:rPr>
  </w:style>
  <w:style w:type="paragraph" w:styleId="30">
    <w:name w:val="toc 3"/>
    <w:basedOn w:val="a"/>
    <w:next w:val="a"/>
    <w:autoRedefine/>
    <w:semiHidden/>
    <w:rsid w:val="0088629B"/>
    <w:pPr>
      <w:ind w:left="480"/>
    </w:pPr>
  </w:style>
  <w:style w:type="paragraph" w:styleId="a8">
    <w:name w:val="footnote text"/>
    <w:basedOn w:val="a"/>
    <w:link w:val="a9"/>
    <w:uiPriority w:val="99"/>
    <w:unhideWhenUsed/>
    <w:rsid w:val="006B5AC0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6B5AC0"/>
    <w:rPr>
      <w:rFonts w:ascii="Calibri" w:eastAsia="Calibri" w:hAnsi="Calibri"/>
      <w:lang w:eastAsia="en-US"/>
    </w:rPr>
  </w:style>
  <w:style w:type="character" w:styleId="aa">
    <w:name w:val="footnote reference"/>
    <w:basedOn w:val="a0"/>
    <w:uiPriority w:val="99"/>
    <w:unhideWhenUsed/>
    <w:rsid w:val="006B5AC0"/>
    <w:rPr>
      <w:vertAlign w:val="superscript"/>
    </w:rPr>
  </w:style>
  <w:style w:type="paragraph" w:styleId="ab">
    <w:name w:val="List Paragraph"/>
    <w:basedOn w:val="a"/>
    <w:uiPriority w:val="34"/>
    <w:qFormat/>
    <w:rsid w:val="006B5A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rsid w:val="004708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70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Интерактивная карта - Изменения</vt:lpstr>
    </vt:vector>
  </TitlesOfParts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Интерактивная карта - Изменения</dc:title>
  <dc:creator>Mikaella</dc:creator>
  <cp:lastModifiedBy>Владимир Юрьевич</cp:lastModifiedBy>
  <cp:revision>2</cp:revision>
  <cp:lastPrinted>2017-04-15T07:24:00Z</cp:lastPrinted>
  <dcterms:created xsi:type="dcterms:W3CDTF">2017-04-21T14:15:00Z</dcterms:created>
  <dcterms:modified xsi:type="dcterms:W3CDTF">2017-04-21T14:15:00Z</dcterms:modified>
</cp:coreProperties>
</file>