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F21" w:rsidRPr="00315397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 креативных проектов. Проект вне конкурса.</w:t>
      </w:r>
    </w:p>
    <w:p w:rsidR="00482F21" w:rsidRDefault="003153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Принципиальная позиция банка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>» о развитии креативных индустрий на Дону публична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hAnsi="Times New Roman"/>
          <w:sz w:val="24"/>
          <w:szCs w:val="24"/>
        </w:rPr>
        <w:t>, широко известна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hAnsi="Times New Roman"/>
          <w:sz w:val="24"/>
          <w:szCs w:val="24"/>
        </w:rPr>
        <w:t>, научно обоснована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hAnsi="Times New Roman"/>
          <w:sz w:val="24"/>
          <w:szCs w:val="24"/>
        </w:rPr>
        <w:t>, статистически подтверждена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 w:hAnsi="Times New Roman"/>
          <w:sz w:val="24"/>
          <w:szCs w:val="24"/>
        </w:rPr>
        <w:t>:</w:t>
      </w:r>
    </w:p>
    <w:p w:rsidR="00482F21" w:rsidRDefault="00315397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житель Дона — творческая личность. </w:t>
      </w:r>
    </w:p>
    <w:p w:rsidR="00482F21" w:rsidRDefault="00315397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Дон — креативный кластер для всех видов деятельности.</w:t>
      </w:r>
    </w:p>
    <w:p w:rsidR="00482F21" w:rsidRDefault="00315397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Каждое предприятие — пространство для реализации творческого потенциала.</w:t>
      </w:r>
    </w:p>
    <w:p w:rsidR="00482F21" w:rsidRDefault="003153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демонстрации многообразия ярких креативных проектов, реализуемых в Ростовской области предприятиями региона, привлечения внимания к достижениям и лучшим практикам использования креативных решений в реальном секторе экономики банк организовал конкурс лучших креативных проектов — «</w:t>
      </w:r>
      <w:hyperlink r:id="rId7" w:history="1">
        <w:r>
          <w:rPr>
            <w:rStyle w:val="Hyperlink0"/>
            <w:rFonts w:eastAsia="Arial Unicode MS"/>
          </w:rPr>
          <w:t>Дон креативный</w:t>
        </w:r>
      </w:hyperlink>
      <w:r>
        <w:rPr>
          <w:rFonts w:ascii="Times New Roman" w:hAnsi="Times New Roman"/>
          <w:sz w:val="24"/>
          <w:szCs w:val="24"/>
        </w:rPr>
        <w:t xml:space="preserve">». Кроме банка инициативу поддержали и выступили </w:t>
      </w:r>
      <w:proofErr w:type="spellStart"/>
      <w:r>
        <w:rPr>
          <w:rFonts w:ascii="Times New Roman" w:hAnsi="Times New Roman"/>
          <w:sz w:val="24"/>
          <w:szCs w:val="24"/>
        </w:rPr>
        <w:t>соорганизаторами</w:t>
      </w:r>
      <w:proofErr w:type="spellEnd"/>
      <w:r>
        <w:rPr>
          <w:rFonts w:ascii="Times New Roman" w:hAnsi="Times New Roman"/>
          <w:sz w:val="24"/>
          <w:szCs w:val="24"/>
        </w:rPr>
        <w:t xml:space="preserve"> Союз работодателей Ростовской области, Федерация профсоюзов Ростовской области, деловое медиа «Эксперт Юг».</w:t>
      </w:r>
    </w:p>
    <w:p w:rsidR="00482F21" w:rsidRDefault="003153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Принципы корпоративной этики не позволяют банку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>» как одному из организаторов участвовать в конкурсе. Но, следуя казачьим принципам: «Дал поручение, научи, проконтролируй, сделай сам», — банк считает необходимым поделиться своим опытом создания творческих условий работы для реализации и внедрения креативных инновационных решений и повышения производительности труда.</w:t>
      </w:r>
    </w:p>
    <w:p w:rsidR="00482F21" w:rsidRDefault="00315397">
      <w:pPr>
        <w:rPr>
          <w:color w:val="FF0000"/>
          <w:u w:color="FF0000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Банковская деятельность представляется чем-то очень стандартным, консервативным, лишенным простора для свободы и творчества. Вопреки сложившимся стереотипам банк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>» решил представить на собственном опыте примеры творческих решений по каждой из 11 номинаций конкурса.</w:t>
      </w:r>
      <w:r>
        <w:t xml:space="preserve"> </w:t>
      </w:r>
      <w:r w:rsidRPr="00315397">
        <w:rPr>
          <w:rFonts w:ascii="Times New Roman" w:hAnsi="Times New Roman" w:cs="Times New Roman"/>
          <w:color w:val="000000" w:themeColor="text1"/>
          <w:u w:color="FF0000"/>
        </w:rPr>
        <w:t>Следует подчеркнуть: анонимное анкетирование сотрудников (в скобках приведены оценки результатов опроса) показало: в банке «Центр-</w:t>
      </w:r>
      <w:proofErr w:type="spellStart"/>
      <w:r w:rsidRPr="00315397">
        <w:rPr>
          <w:rFonts w:ascii="Times New Roman" w:hAnsi="Times New Roman" w:cs="Times New Roman"/>
          <w:color w:val="000000" w:themeColor="text1"/>
          <w:u w:color="FF0000"/>
        </w:rPr>
        <w:t>инвест</w:t>
      </w:r>
      <w:proofErr w:type="spellEnd"/>
      <w:r w:rsidRPr="00315397">
        <w:rPr>
          <w:rFonts w:ascii="Times New Roman" w:hAnsi="Times New Roman" w:cs="Times New Roman"/>
          <w:color w:val="000000" w:themeColor="text1"/>
          <w:u w:color="FF0000"/>
        </w:rPr>
        <w:t>» созданы условия для реализации способностей (22% ответов), возможностей (22%), достижения успеха (23%). Креативные условия «бирюзовой компании» опираются на правила, закрепленные внутренними документами (14%), дисциплину (9%) и традиции (10%).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Лучший проект в сфере ПО и видеоигр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активно поддерживает развитие ИТ-сообщества, является надежным партнером для множества студенческих мероприятий и значимых событий в профессиональном мире ИТ-специалистов. Только в 2024 году банк поддержал проведение </w:t>
      </w:r>
      <w:r>
        <w:rPr>
          <w:rFonts w:ascii="Times New Roman" w:hAnsi="Times New Roman"/>
          <w:b/>
          <w:bCs/>
          <w:sz w:val="24"/>
          <w:szCs w:val="24"/>
        </w:rPr>
        <w:t xml:space="preserve">10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хакатонов</w:t>
      </w:r>
      <w:proofErr w:type="spellEnd"/>
      <w:r>
        <w:rPr>
          <w:rFonts w:ascii="Times New Roman" w:hAnsi="Times New Roman"/>
          <w:sz w:val="24"/>
          <w:szCs w:val="24"/>
        </w:rPr>
        <w:t xml:space="preserve">, в которых приняли участие </w:t>
      </w:r>
      <w:r>
        <w:rPr>
          <w:rFonts w:ascii="Times New Roman" w:hAnsi="Times New Roman"/>
          <w:b/>
          <w:bCs/>
          <w:sz w:val="24"/>
          <w:szCs w:val="24"/>
        </w:rPr>
        <w:t>более трех тысяч</w:t>
      </w:r>
      <w:r>
        <w:rPr>
          <w:rFonts w:ascii="Times New Roman" w:hAnsi="Times New Roman"/>
          <w:sz w:val="24"/>
          <w:szCs w:val="24"/>
        </w:rPr>
        <w:t xml:space="preserve"> человек. В самом банке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внедрена </w:t>
      </w:r>
      <w:r>
        <w:rPr>
          <w:rFonts w:ascii="Times New Roman" w:hAnsi="Times New Roman"/>
          <w:b/>
          <w:bCs/>
          <w:sz w:val="24"/>
          <w:szCs w:val="24"/>
        </w:rPr>
        <w:t>цифровая обучающая платформа</w:t>
      </w:r>
      <w:r>
        <w:rPr>
          <w:rFonts w:ascii="Times New Roman" w:hAnsi="Times New Roman"/>
          <w:sz w:val="24"/>
          <w:szCs w:val="24"/>
        </w:rPr>
        <w:t xml:space="preserve"> с элементами </w:t>
      </w:r>
      <w:proofErr w:type="spellStart"/>
      <w:r>
        <w:rPr>
          <w:rFonts w:ascii="Times New Roman" w:hAnsi="Times New Roman"/>
          <w:sz w:val="24"/>
          <w:szCs w:val="24"/>
        </w:rPr>
        <w:t>геймификации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организации обучения и профессионального роста сотрудников. Важно отметить, что бизнес-пользователи этой платформы самостоятельно взялись за развитие ПО и внедрили его без привлечения ИТ-специалистов.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реализовал электронную базу данных динамических рядов 500 показателей официальной государственной статистики регионов присутствия за 2015-2024 гг. Для актуализации стратегии </w:t>
      </w:r>
      <w:r>
        <w:rPr>
          <w:rFonts w:ascii="Times New Roman" w:hAnsi="Times New Roman"/>
          <w:sz w:val="24"/>
          <w:szCs w:val="24"/>
        </w:rPr>
        <w:lastRenderedPageBreak/>
        <w:t>Ростовской области был проведен анализ трендов, корреляций и главных компонент, который позволил сформировать дизайн экономики Дона</w:t>
      </w:r>
      <w:r>
        <w:rPr>
          <w:rFonts w:ascii="Times New Roman" w:hAnsi="Times New Roman"/>
          <w:color w:val="00B050"/>
          <w:sz w:val="24"/>
          <w:szCs w:val="24"/>
          <w:u w:color="00B050"/>
        </w:rPr>
        <w:t xml:space="preserve"> </w:t>
      </w:r>
      <w:r>
        <w:rPr>
          <w:rFonts w:ascii="Times New Roman" w:hAnsi="Times New Roman"/>
          <w:sz w:val="24"/>
          <w:szCs w:val="24"/>
        </w:rPr>
        <w:t>для текущей ситуации, 2030 и 2036 годов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Лучший проект, связанный с культурным наследием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на протяжении 30 лет работы поддерживает </w:t>
      </w:r>
      <w:r>
        <w:rPr>
          <w:rFonts w:ascii="Times New Roman" w:hAnsi="Times New Roman"/>
          <w:b/>
          <w:bCs/>
          <w:sz w:val="24"/>
          <w:szCs w:val="24"/>
        </w:rPr>
        <w:t>целевые культурные проекты для незащищенных слоев населения:</w:t>
      </w:r>
      <w:r>
        <w:rPr>
          <w:rFonts w:ascii="Times New Roman" w:hAnsi="Times New Roman"/>
          <w:sz w:val="24"/>
          <w:szCs w:val="24"/>
        </w:rPr>
        <w:t xml:space="preserve"> детей из малообеспеченных семей, инклюзивных классов, детских домов, ветеранов. Банк поддерживает </w:t>
      </w:r>
      <w:r>
        <w:rPr>
          <w:rFonts w:ascii="Times New Roman" w:hAnsi="Times New Roman"/>
          <w:b/>
          <w:bCs/>
          <w:sz w:val="24"/>
          <w:szCs w:val="24"/>
        </w:rPr>
        <w:t>мероприятия Донской государственной публичной библиотеки</w:t>
      </w:r>
      <w:r>
        <w:rPr>
          <w:rFonts w:ascii="Times New Roman" w:hAnsi="Times New Roman"/>
          <w:sz w:val="24"/>
          <w:szCs w:val="24"/>
        </w:rPr>
        <w:t xml:space="preserve">, которая сегодня выступает как настоящий культурный центр города. Более 20 лет действует программа банка по </w:t>
      </w:r>
      <w:r>
        <w:rPr>
          <w:rFonts w:ascii="Times New Roman" w:hAnsi="Times New Roman"/>
          <w:b/>
          <w:bCs/>
          <w:sz w:val="24"/>
          <w:szCs w:val="24"/>
        </w:rPr>
        <w:t>поддержке музеев и галерей по югу России</w:t>
      </w:r>
      <w:r>
        <w:rPr>
          <w:rFonts w:ascii="Times New Roman" w:hAnsi="Times New Roman"/>
          <w:sz w:val="24"/>
          <w:szCs w:val="24"/>
        </w:rPr>
        <w:t xml:space="preserve">. При поддержке банка вышли в свет </w:t>
      </w:r>
      <w:r>
        <w:rPr>
          <w:rFonts w:ascii="Times New Roman" w:hAnsi="Times New Roman"/>
          <w:b/>
          <w:bCs/>
          <w:sz w:val="24"/>
          <w:szCs w:val="24"/>
        </w:rPr>
        <w:t>книги краеведа В. В. Смирнова, книги о казачестве, трилогия «Гражданин Ростова, Таганрога, Новочеркасска», альбом-путеводитель по Шолоховским местам,</w:t>
      </w:r>
      <w:r>
        <w:rPr>
          <w:rFonts w:ascii="Times New Roman" w:hAnsi="Times New Roman"/>
          <w:sz w:val="24"/>
          <w:szCs w:val="24"/>
        </w:rPr>
        <w:t xml:space="preserve"> в 2024 году опубликована </w:t>
      </w:r>
      <w:r>
        <w:rPr>
          <w:rFonts w:ascii="Times New Roman" w:hAnsi="Times New Roman"/>
          <w:b/>
          <w:bCs/>
          <w:sz w:val="24"/>
          <w:szCs w:val="24"/>
        </w:rPr>
        <w:t xml:space="preserve">коллекция репринтных изданий военной прозы Шолохова </w:t>
      </w:r>
      <w:r>
        <w:rPr>
          <w:rFonts w:ascii="Times New Roman" w:hAnsi="Times New Roman"/>
          <w:sz w:val="24"/>
          <w:szCs w:val="24"/>
        </w:rPr>
        <w:t>в честь 120-летия со дня рождения писателя и 80-летия Победы.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Лучший проект в сфере медиа и рекламы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в своей рекламе и продвижении придерживается строгих этических стандартов, не допуская </w:t>
      </w:r>
      <w:proofErr w:type="spellStart"/>
      <w:r>
        <w:rPr>
          <w:rFonts w:ascii="Times New Roman" w:hAnsi="Times New Roman"/>
          <w:sz w:val="24"/>
          <w:szCs w:val="24"/>
        </w:rPr>
        <w:t>мисселинга</w:t>
      </w:r>
      <w:proofErr w:type="spellEnd"/>
      <w:r>
        <w:rPr>
          <w:rFonts w:ascii="Times New Roman" w:hAnsi="Times New Roman"/>
          <w:sz w:val="24"/>
          <w:szCs w:val="24"/>
        </w:rPr>
        <w:t xml:space="preserve">, обмана и маркетинговых ухищрений. Информирование общественности о добросовестной работе банка включает </w:t>
      </w:r>
      <w:r>
        <w:rPr>
          <w:rFonts w:ascii="Times New Roman" w:hAnsi="Times New Roman"/>
          <w:b/>
          <w:bCs/>
          <w:sz w:val="24"/>
          <w:szCs w:val="24"/>
        </w:rPr>
        <w:t>308 пресс-релизов</w:t>
      </w:r>
      <w:r>
        <w:rPr>
          <w:rFonts w:ascii="Times New Roman" w:hAnsi="Times New Roman"/>
          <w:sz w:val="24"/>
          <w:szCs w:val="24"/>
        </w:rPr>
        <w:t xml:space="preserve">, более </w:t>
      </w:r>
      <w:r>
        <w:rPr>
          <w:rFonts w:ascii="Times New Roman" w:hAnsi="Times New Roman"/>
          <w:b/>
          <w:bCs/>
          <w:sz w:val="24"/>
          <w:szCs w:val="24"/>
        </w:rPr>
        <w:t>7 тысяч публикаций в СМИ</w:t>
      </w:r>
      <w:r>
        <w:rPr>
          <w:rFonts w:ascii="Times New Roman" w:hAnsi="Times New Roman"/>
          <w:sz w:val="24"/>
          <w:szCs w:val="24"/>
        </w:rPr>
        <w:t xml:space="preserve"> за 2024 год и </w:t>
      </w:r>
      <w:r>
        <w:rPr>
          <w:rFonts w:ascii="Times New Roman" w:hAnsi="Times New Roman"/>
          <w:b/>
          <w:bCs/>
          <w:sz w:val="24"/>
          <w:szCs w:val="24"/>
        </w:rPr>
        <w:t>почетное место в топ-10 лидеров рейтинга репутации банков России</w:t>
      </w:r>
      <w:r>
        <w:rPr>
          <w:rFonts w:ascii="Times New Roman" w:hAnsi="Times New Roman"/>
          <w:sz w:val="24"/>
          <w:szCs w:val="24"/>
        </w:rPr>
        <w:t>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Лучший проект в сфере кино и анимации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банке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существует </w:t>
      </w:r>
      <w:r>
        <w:rPr>
          <w:rFonts w:ascii="Times New Roman" w:hAnsi="Times New Roman"/>
          <w:b/>
          <w:bCs/>
          <w:sz w:val="24"/>
          <w:szCs w:val="24"/>
        </w:rPr>
        <w:t xml:space="preserve">традиция видеопоздравлений с праздниками в корпоративном </w:t>
      </w:r>
      <w:proofErr w:type="spellStart"/>
      <w:r w:rsidRPr="004D70EE">
        <w:rPr>
          <w:rFonts w:ascii="Times New Roman" w:hAnsi="Times New Roman"/>
          <w:b/>
          <w:bCs/>
          <w:sz w:val="24"/>
          <w:szCs w:val="24"/>
        </w:rPr>
        <w:t>телеграм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-канале.</w:t>
      </w:r>
      <w:r>
        <w:rPr>
          <w:rFonts w:ascii="Times New Roman" w:hAnsi="Times New Roman"/>
          <w:sz w:val="24"/>
          <w:szCs w:val="24"/>
        </w:rPr>
        <w:t xml:space="preserve"> Сотрудники снимают творческие клипы, участвуют в конкурсах и получают подарки за свои креативные ролики.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Лучший проект в сфере исполнительских искусств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Более 8 лет банк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/>
          <w:bCs/>
          <w:sz w:val="24"/>
          <w:szCs w:val="24"/>
        </w:rPr>
        <w:t>совместно с Ростовским музыкальным театром реализует проект «Добрый театр»</w:t>
      </w:r>
      <w:r>
        <w:rPr>
          <w:rFonts w:ascii="Times New Roman" w:hAnsi="Times New Roman"/>
          <w:sz w:val="24"/>
          <w:szCs w:val="24"/>
        </w:rPr>
        <w:t xml:space="preserve">. Банк ежегодно приобретает </w:t>
      </w:r>
      <w:r>
        <w:rPr>
          <w:rFonts w:ascii="Times New Roman" w:hAnsi="Times New Roman"/>
          <w:b/>
          <w:bCs/>
          <w:sz w:val="24"/>
          <w:szCs w:val="24"/>
        </w:rPr>
        <w:t>театральные абонементы для детей из многодетных семей, инклюзивных классов и детских домов</w:t>
      </w:r>
      <w:r>
        <w:rPr>
          <w:rFonts w:ascii="Times New Roman" w:hAnsi="Times New Roman"/>
          <w:sz w:val="24"/>
          <w:szCs w:val="24"/>
        </w:rPr>
        <w:t xml:space="preserve">. Цель проекта — приобщить детей к театральной культуре и подарить радость сказочного представления. 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более 10 лет выступает </w:t>
      </w:r>
      <w:r>
        <w:rPr>
          <w:rFonts w:ascii="Times New Roman" w:hAnsi="Times New Roman"/>
          <w:b/>
          <w:bCs/>
          <w:sz w:val="24"/>
          <w:szCs w:val="24"/>
        </w:rPr>
        <w:t xml:space="preserve">финансовым партнером областного театрального фестиваля-конкурса «Мельпомена» </w:t>
      </w:r>
      <w:r>
        <w:rPr>
          <w:rFonts w:ascii="Times New Roman" w:hAnsi="Times New Roman"/>
          <w:sz w:val="24"/>
          <w:szCs w:val="24"/>
        </w:rPr>
        <w:t>с целью сохранения и развития традиций донского театра, выявления лучших творческих работ в различных жанрах и видах театрального искусства, укрепления единого культурного пространства.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реализует </w:t>
      </w:r>
      <w:r>
        <w:rPr>
          <w:rFonts w:ascii="Times New Roman" w:hAnsi="Times New Roman"/>
          <w:b/>
          <w:bCs/>
          <w:sz w:val="24"/>
          <w:szCs w:val="24"/>
        </w:rPr>
        <w:t>собственный «Зеленый театр»,</w:t>
      </w:r>
      <w:r>
        <w:rPr>
          <w:rFonts w:ascii="Times New Roman" w:hAnsi="Times New Roman"/>
          <w:sz w:val="24"/>
          <w:szCs w:val="24"/>
        </w:rPr>
        <w:t xml:space="preserve"> в рамках которого все роли в театральных постановках играют сотрудники банка, — спектакль «Горе от ума» и мюзикл «Бременские музыканты».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Лучший проект в сфере архитектуры 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урбанистики</w:t>
      </w:r>
      <w:proofErr w:type="spellEnd"/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традиционно выступает партнером </w:t>
      </w:r>
      <w:r>
        <w:rPr>
          <w:rFonts w:ascii="Times New Roman" w:hAnsi="Times New Roman"/>
          <w:b/>
          <w:bCs/>
          <w:sz w:val="24"/>
          <w:szCs w:val="24"/>
        </w:rPr>
        <w:t xml:space="preserve">Дней древо- 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тюльпанонасаждения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в г. Ростове-на-Дону.</w:t>
      </w:r>
      <w:r>
        <w:rPr>
          <w:rFonts w:ascii="Times New Roman" w:hAnsi="Times New Roman"/>
          <w:sz w:val="24"/>
          <w:szCs w:val="24"/>
        </w:rPr>
        <w:t xml:space="preserve"> В 2024 году при поддержке банка облагорожены </w:t>
      </w:r>
      <w:r>
        <w:rPr>
          <w:rFonts w:ascii="Times New Roman" w:hAnsi="Times New Roman"/>
          <w:b/>
          <w:bCs/>
          <w:sz w:val="24"/>
          <w:szCs w:val="24"/>
        </w:rPr>
        <w:t>зоны отдыха в Ворошиловском и Октябрьском районах Ростова-на-Дону</w:t>
      </w:r>
      <w:r>
        <w:rPr>
          <w:rFonts w:ascii="Times New Roman" w:hAnsi="Times New Roman"/>
          <w:sz w:val="24"/>
          <w:szCs w:val="24"/>
        </w:rPr>
        <w:t xml:space="preserve">: около </w:t>
      </w:r>
      <w:r>
        <w:rPr>
          <w:rFonts w:ascii="Times New Roman" w:hAnsi="Times New Roman"/>
          <w:b/>
          <w:bCs/>
          <w:sz w:val="24"/>
          <w:szCs w:val="24"/>
        </w:rPr>
        <w:t xml:space="preserve">Памятника авиаторам </w:t>
      </w:r>
      <w:r>
        <w:rPr>
          <w:rFonts w:ascii="Times New Roman" w:hAnsi="Times New Roman"/>
          <w:b/>
          <w:bCs/>
          <w:sz w:val="24"/>
          <w:szCs w:val="24"/>
        </w:rPr>
        <w:lastRenderedPageBreak/>
        <w:t>всех поколений</w:t>
      </w:r>
      <w:r>
        <w:rPr>
          <w:rFonts w:ascii="Times New Roman" w:hAnsi="Times New Roman"/>
          <w:sz w:val="24"/>
          <w:szCs w:val="24"/>
        </w:rPr>
        <w:t xml:space="preserve"> и в </w:t>
      </w:r>
      <w:r>
        <w:rPr>
          <w:rFonts w:ascii="Times New Roman" w:hAnsi="Times New Roman"/>
          <w:b/>
          <w:bCs/>
          <w:sz w:val="24"/>
          <w:szCs w:val="24"/>
        </w:rPr>
        <w:t>сквере им. Ю. А. Гагарина</w:t>
      </w:r>
      <w:r>
        <w:rPr>
          <w:rFonts w:ascii="Times New Roman" w:hAnsi="Times New Roman"/>
          <w:sz w:val="24"/>
          <w:szCs w:val="24"/>
        </w:rPr>
        <w:t xml:space="preserve"> банк установил удобные скамейки для отдыха и обустроил новые клумбы. 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поддерживает развитие регионов присутствия, создает условия для их преображения в комфортные места для жизни и отдыха. В 2024 году банк запустил специальную </w:t>
      </w:r>
      <w:r>
        <w:rPr>
          <w:rFonts w:ascii="Times New Roman" w:hAnsi="Times New Roman"/>
          <w:b/>
          <w:bCs/>
          <w:sz w:val="24"/>
          <w:szCs w:val="24"/>
        </w:rPr>
        <w:t>льготную кредитную программу «Цветущий город» для развития городской инфраструктуры, благоустройства придомовых и общественных территорий</w:t>
      </w:r>
      <w:r>
        <w:rPr>
          <w:rFonts w:ascii="Times New Roman" w:hAnsi="Times New Roman"/>
          <w:sz w:val="24"/>
          <w:szCs w:val="24"/>
        </w:rPr>
        <w:t>. Воспользоваться программой могут юридические лица, индивидуальные предприниматели, а также ТСЖ и УК.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Лучший проект в сфере моды и промышленного дизайна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 году банк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в </w:t>
      </w:r>
      <w:proofErr w:type="spellStart"/>
      <w:r>
        <w:rPr>
          <w:rFonts w:ascii="Times New Roman" w:hAnsi="Times New Roman"/>
          <w:sz w:val="24"/>
          <w:szCs w:val="24"/>
        </w:rPr>
        <w:t>коллаборации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с крупнейшим региональным брендом одежды DNK RUSSIA представил </w:t>
      </w:r>
      <w:r>
        <w:rPr>
          <w:rFonts w:ascii="Times New Roman" w:hAnsi="Times New Roman"/>
          <w:b/>
          <w:bCs/>
          <w:sz w:val="24"/>
          <w:szCs w:val="24"/>
        </w:rPr>
        <w:t>новую корпоративную форму для сотрудников фронт-офисов</w:t>
      </w:r>
      <w:r>
        <w:rPr>
          <w:rFonts w:ascii="Times New Roman" w:hAnsi="Times New Roman"/>
          <w:sz w:val="24"/>
          <w:szCs w:val="24"/>
        </w:rPr>
        <w:t>, а летом 2025 года проект получил продолжение в виде коллекции летней формы.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Важнейшими требованиями к новой форме стали ее функциональность, выразительность и актуальность. Форма соответствует современным модным трендам и отражает </w:t>
      </w:r>
      <w:proofErr w:type="spellStart"/>
      <w:r>
        <w:rPr>
          <w:rFonts w:ascii="Times New Roman" w:hAnsi="Times New Roman"/>
          <w:sz w:val="24"/>
          <w:szCs w:val="24"/>
        </w:rPr>
        <w:t>клиентоориентированную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философию банка.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Лучший проект в сфере гастрономии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 для сотрудников банка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>» на территории головного офиса работает столовая с разнообразным и сбалансированным меню. Работники могут заказать десерты от лучших кондитеров города и торт на праздник.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Лучший проект в сфере музыки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годы банк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>» представлял для клиентов и партнеров традиционный новогодний подарок: лучшие солисты Ростовского музыкального театра исполняли шедевры мировой оперы в главном операционном зале банка.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совместно с Донской государственной публичной библиотекой, Ростовским колледжем искусств и министерством культуры Ростовской области проводит </w:t>
      </w:r>
      <w:r>
        <w:rPr>
          <w:rFonts w:ascii="Times New Roman" w:hAnsi="Times New Roman"/>
          <w:b/>
          <w:bCs/>
          <w:sz w:val="24"/>
          <w:szCs w:val="24"/>
        </w:rPr>
        <w:t xml:space="preserve">фестиваль «Джазовая весна в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Публичке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482F21" w:rsidRDefault="0031539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 году банк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поддержал </w:t>
      </w:r>
      <w:r>
        <w:rPr>
          <w:rFonts w:ascii="Times New Roman" w:hAnsi="Times New Roman"/>
          <w:b/>
          <w:bCs/>
          <w:sz w:val="24"/>
          <w:szCs w:val="24"/>
        </w:rPr>
        <w:t>XX Международный джазовый фестиваль «Ростовский джаз приглашает»,</w:t>
      </w:r>
      <w:r>
        <w:rPr>
          <w:rFonts w:ascii="Times New Roman" w:hAnsi="Times New Roman"/>
          <w:sz w:val="24"/>
          <w:szCs w:val="24"/>
        </w:rPr>
        <w:t xml:space="preserve"> посвященный 50-летию джазового образования в стране.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Лучший проект в сфере книжного дела</w:t>
      </w:r>
    </w:p>
    <w:p w:rsidR="00482F21" w:rsidRDefault="003153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на постоянной основе издает </w:t>
      </w:r>
      <w:r>
        <w:rPr>
          <w:rFonts w:ascii="Times New Roman" w:hAnsi="Times New Roman"/>
          <w:b/>
          <w:bCs/>
          <w:sz w:val="24"/>
          <w:szCs w:val="24"/>
        </w:rPr>
        <w:t>книги для популяризации устойчивого банкинга, развития предпринимательства, науки, статистические сборники по отдельным направлениям</w:t>
      </w:r>
      <w:r>
        <w:rPr>
          <w:rFonts w:ascii="Times New Roman" w:hAnsi="Times New Roman"/>
          <w:sz w:val="24"/>
          <w:szCs w:val="24"/>
        </w:rPr>
        <w:t xml:space="preserve">. Только в 2024 году вышли в свет статистический сборник «Креативные индустрии Дона», реализованный совместно с </w:t>
      </w:r>
      <w:proofErr w:type="spellStart"/>
      <w:r>
        <w:rPr>
          <w:rFonts w:ascii="Times New Roman" w:hAnsi="Times New Roman"/>
          <w:sz w:val="24"/>
          <w:szCs w:val="24"/>
        </w:rPr>
        <w:t>Ростовстатом</w:t>
      </w:r>
      <w:proofErr w:type="spellEnd"/>
      <w:r>
        <w:rPr>
          <w:rFonts w:ascii="Times New Roman" w:hAnsi="Times New Roman"/>
          <w:sz w:val="24"/>
          <w:szCs w:val="24"/>
        </w:rPr>
        <w:t>, и книга Председателя Совета директоров банка профессора, д. э. н. Василия Высокова «Дон креативный», посвященная анализу креативных традиций донского казачества, развитию креативности на Дону и опыту банка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>» по использованию креативных решений.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Лучший социальный проект организации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является </w:t>
      </w:r>
      <w:proofErr w:type="spellStart"/>
      <w:r>
        <w:rPr>
          <w:rFonts w:ascii="Times New Roman" w:hAnsi="Times New Roman"/>
          <w:sz w:val="24"/>
          <w:szCs w:val="24"/>
        </w:rPr>
        <w:t>амбассадором</w:t>
      </w:r>
      <w:proofErr w:type="spellEnd"/>
      <w:r>
        <w:rPr>
          <w:rFonts w:ascii="Times New Roman" w:hAnsi="Times New Roman"/>
          <w:sz w:val="24"/>
          <w:szCs w:val="24"/>
        </w:rPr>
        <w:t xml:space="preserve"> финансового просвещения страны и более 30 лет активно реализует образовательные программы, направленные на защиту финансовых интересов и повышение финансовой грамотности населения через собственные </w:t>
      </w:r>
      <w:r>
        <w:rPr>
          <w:rFonts w:ascii="Times New Roman" w:hAnsi="Times New Roman"/>
          <w:b/>
          <w:bCs/>
          <w:sz w:val="24"/>
          <w:szCs w:val="24"/>
        </w:rPr>
        <w:t xml:space="preserve">Центры </w:t>
      </w:r>
      <w:r>
        <w:rPr>
          <w:rFonts w:ascii="Times New Roman" w:hAnsi="Times New Roman"/>
          <w:b/>
          <w:bCs/>
          <w:sz w:val="24"/>
          <w:szCs w:val="24"/>
        </w:rPr>
        <w:lastRenderedPageBreak/>
        <w:t>финансовой грамотности.</w:t>
      </w:r>
      <w:r>
        <w:rPr>
          <w:rFonts w:ascii="Times New Roman" w:hAnsi="Times New Roman"/>
          <w:sz w:val="24"/>
          <w:szCs w:val="24"/>
        </w:rPr>
        <w:t xml:space="preserve"> За 10 лет работы Центр повысил финансовую грамотность </w:t>
      </w:r>
      <w:r>
        <w:rPr>
          <w:rFonts w:ascii="Times New Roman" w:hAnsi="Times New Roman"/>
          <w:b/>
          <w:bCs/>
          <w:sz w:val="24"/>
          <w:szCs w:val="24"/>
        </w:rPr>
        <w:t>более двух миллионов граждан.</w:t>
      </w:r>
    </w:p>
    <w:p w:rsidR="00482F21" w:rsidRDefault="003153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более 22 лет проводит </w:t>
      </w:r>
      <w:r>
        <w:rPr>
          <w:rFonts w:ascii="Times New Roman" w:hAnsi="Times New Roman"/>
          <w:b/>
          <w:bCs/>
          <w:sz w:val="24"/>
          <w:szCs w:val="24"/>
        </w:rPr>
        <w:t>ежегодный студенческий конкурс «Умная стипендия» для бакалавров, магистрантов и аспирантов на получение именной стипендии банка</w:t>
      </w:r>
      <w:r>
        <w:rPr>
          <w:rFonts w:ascii="Times New Roman" w:hAnsi="Times New Roman"/>
          <w:sz w:val="24"/>
          <w:szCs w:val="24"/>
        </w:rPr>
        <w:t xml:space="preserve">. В 2024 году конкурс «Умная стипендия» был расширен для студентов учреждений среднего профессионального образования. За все время существования конкурса в нем приняли участие </w:t>
      </w:r>
      <w:r>
        <w:rPr>
          <w:rFonts w:ascii="Times New Roman" w:hAnsi="Times New Roman"/>
          <w:b/>
          <w:bCs/>
          <w:sz w:val="24"/>
          <w:szCs w:val="24"/>
        </w:rPr>
        <w:t>более 40 000 молодых людей, более 6 тысяч студентов стали стипендиатами конкурса</w:t>
      </w:r>
      <w:r>
        <w:rPr>
          <w:rFonts w:ascii="Times New Roman" w:hAnsi="Times New Roman"/>
          <w:sz w:val="24"/>
          <w:szCs w:val="24"/>
        </w:rPr>
        <w:t>.</w:t>
      </w:r>
    </w:p>
    <w:p w:rsidR="00482F21" w:rsidRDefault="00482F2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F21" w:rsidRDefault="00315397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Креатив — это не богема по списку видов деятельности, а каждый житель Дона. Традиции и преимущества донской земли должны стать основой стратегии развития креативных индустрий региона, повышения глобальной конкурентоспособности самосознания жителей и бизнеса Ростовской области.</w:t>
      </w:r>
    </w:p>
    <w:p w:rsidR="00482F21" w:rsidRDefault="00315397">
      <w:r>
        <w:rPr>
          <w:rFonts w:ascii="Times New Roman" w:hAnsi="Times New Roman"/>
          <w:sz w:val="24"/>
          <w:szCs w:val="24"/>
        </w:rPr>
        <w:t>Банк «Центр-</w:t>
      </w:r>
      <w:proofErr w:type="spellStart"/>
      <w:r>
        <w:rPr>
          <w:rFonts w:ascii="Times New Roman" w:hAnsi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призывает предприятия и творческие коллективы Дона принять участие в конкурсе креативных проектов. Подать свою заявку можно до 15 августа 2025 года по ссылке </w:t>
      </w:r>
      <w:hyperlink r:id="rId8" w:history="1">
        <w:r>
          <w:rPr>
            <w:rStyle w:val="Hyperlink1"/>
            <w:rFonts w:eastAsia="Arial Unicode MS"/>
          </w:rPr>
          <w:t>https://chistoepole.art/konkurs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sectPr w:rsidR="00482F21">
      <w:headerReference w:type="default" r:id="rId9"/>
      <w:footerReference w:type="default" r:id="rId10"/>
      <w:pgSz w:w="11900" w:h="16840"/>
      <w:pgMar w:top="1134" w:right="850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8B7" w:rsidRDefault="00315397">
      <w:pPr>
        <w:spacing w:after="0" w:line="240" w:lineRule="auto"/>
      </w:pPr>
      <w:r>
        <w:separator/>
      </w:r>
    </w:p>
  </w:endnote>
  <w:endnote w:type="continuationSeparator" w:id="0">
    <w:p w:rsidR="004308B7" w:rsidRDefault="00315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F21" w:rsidRDefault="00482F2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F21" w:rsidRDefault="00315397">
      <w:r>
        <w:separator/>
      </w:r>
    </w:p>
  </w:footnote>
  <w:footnote w:type="continuationSeparator" w:id="0">
    <w:p w:rsidR="00482F21" w:rsidRDefault="00315397">
      <w:r>
        <w:continuationSeparator/>
      </w:r>
    </w:p>
  </w:footnote>
  <w:footnote w:type="continuationNotice" w:id="1">
    <w:p w:rsidR="00482F21" w:rsidRDefault="00482F21"/>
  </w:footnote>
  <w:footnote w:id="2">
    <w:p w:rsidR="00482F21" w:rsidRDefault="00315397">
      <w:pPr>
        <w:pStyle w:val="a5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rPr>
          <w:rFonts w:eastAsia="Arial Unicode MS" w:cs="Arial Unicode MS"/>
        </w:rPr>
        <w:t xml:space="preserve"> https://www.donland.ru/news/28196/</w:t>
      </w:r>
    </w:p>
  </w:footnote>
  <w:footnote w:id="3">
    <w:p w:rsidR="00482F21" w:rsidRDefault="00315397">
      <w:pPr>
        <w:pStyle w:val="a5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rPr>
          <w:rFonts w:eastAsia="Arial Unicode MS" w:cs="Arial Unicode MS"/>
        </w:rPr>
        <w:t xml:space="preserve"> https://www.centrinvest.ru/about/mass-media/kreativnyi-klaster-don</w:t>
      </w:r>
    </w:p>
  </w:footnote>
  <w:footnote w:id="4">
    <w:p w:rsidR="00482F21" w:rsidRDefault="00315397">
      <w:pPr>
        <w:pStyle w:val="a5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rPr>
          <w:rFonts w:eastAsia="Arial Unicode MS" w:cs="Arial Unicode MS"/>
        </w:rPr>
        <w:t xml:space="preserve"> https://site-api.centrinvest.ru/uploads/doc/articles/don-kreativnyj.pdf</w:t>
      </w:r>
    </w:p>
  </w:footnote>
  <w:footnote w:id="5">
    <w:p w:rsidR="00482F21" w:rsidRDefault="00315397">
      <w:pPr>
        <w:pStyle w:val="a5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rPr>
          <w:rFonts w:eastAsia="Arial Unicode MS" w:cs="Arial Unicode MS"/>
        </w:rPr>
        <w:t xml:space="preserve"> https://61.rosstat.gov.ru/storage/mediabank/%D0%BA%D1%80%D0%B5%D0%B0%D1%82%D0%B8%D0%B2_2024.pdf</w:t>
      </w:r>
    </w:p>
  </w:footnote>
  <w:footnote w:id="6">
    <w:p w:rsidR="00482F21" w:rsidRDefault="00315397">
      <w:pPr>
        <w:pStyle w:val="a5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rPr>
          <w:rFonts w:eastAsia="Arial Unicode MS" w:cs="Arial Unicode MS"/>
        </w:rPr>
        <w:t xml:space="preserve"> https://www.centrinvest.ru/about/press-releases/opyt-banka-tsentr-invest-dlia-strategii-2030-rostovskoi-oblasti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F21" w:rsidRDefault="00482F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D50EB"/>
    <w:multiLevelType w:val="hybridMultilevel"/>
    <w:tmpl w:val="34B4414C"/>
    <w:styleLink w:val="1"/>
    <w:lvl w:ilvl="0" w:tplc="69125802">
      <w:start w:val="1"/>
      <w:numFmt w:val="bullet"/>
      <w:lvlText w:val="-"/>
      <w:lvlJc w:val="left"/>
      <w:pPr>
        <w:ind w:left="77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820386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FA0315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9A9F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D00A54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F6C60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FD682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A4DF8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287C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DDA4E4E"/>
    <w:multiLevelType w:val="hybridMultilevel"/>
    <w:tmpl w:val="34B4414C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isplayBackgroundShape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21"/>
    <w:rsid w:val="00315397"/>
    <w:rsid w:val="004308B7"/>
    <w:rsid w:val="00475FD9"/>
    <w:rsid w:val="00482F21"/>
    <w:rsid w:val="004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E030"/>
  <w15:docId w15:val="{0FCA7AB6-B77D-4C60-AB42-3380E482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note text"/>
    <w:rPr>
      <w:rFonts w:ascii="Calibri" w:eastAsia="Calibri" w:hAnsi="Calibri" w:cs="Calibri"/>
      <w:color w:val="000000"/>
      <w:u w:color="000000"/>
    </w:rPr>
  </w:style>
  <w:style w:type="paragraph" w:styleId="a6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7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b/>
      <w:bCs/>
      <w:outline w:val="0"/>
      <w:color w:val="00B050"/>
      <w:sz w:val="24"/>
      <w:szCs w:val="24"/>
      <w:u w:val="single" w:color="00B050"/>
    </w:rPr>
  </w:style>
  <w:style w:type="character" w:customStyle="1" w:styleId="Hyperlink1">
    <w:name w:val="Hyperlink.1"/>
    <w:basedOn w:val="a7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</w:rPr>
  </w:style>
  <w:style w:type="paragraph" w:styleId="a8">
    <w:name w:val="Balloon Text"/>
    <w:basedOn w:val="a"/>
    <w:link w:val="a9"/>
    <w:uiPriority w:val="99"/>
    <w:semiHidden/>
    <w:unhideWhenUsed/>
    <w:rsid w:val="004D7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70EE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stoepole.art/konku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istoepole.art/konku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Center-invest</Company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Фиалковская Юлия Александровна</dc:creator>
  <cp:lastModifiedBy>Фиалковская Юлия Александровна</cp:lastModifiedBy>
  <cp:revision>3</cp:revision>
  <dcterms:created xsi:type="dcterms:W3CDTF">2025-07-07T13:45:00Z</dcterms:created>
  <dcterms:modified xsi:type="dcterms:W3CDTF">2025-07-08T09:27:00Z</dcterms:modified>
</cp:coreProperties>
</file>